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D0" w:rsidRDefault="00F25AD0" w:rsidP="00F25AD0">
      <w:pPr>
        <w:spacing w:line="480" w:lineRule="auto"/>
        <w:rPr>
          <w:b/>
        </w:rPr>
      </w:pPr>
      <w:r w:rsidRPr="00E53993">
        <w:rPr>
          <w:b/>
        </w:rPr>
        <w:t>Figure Legends</w:t>
      </w:r>
    </w:p>
    <w:p w:rsidR="00F25AD0" w:rsidRDefault="00F25AD0" w:rsidP="00F25AD0">
      <w:pPr>
        <w:pStyle w:val="ListParagraph"/>
        <w:spacing w:line="480" w:lineRule="auto"/>
        <w:ind w:left="0"/>
        <w:rPr>
          <w:b/>
          <w:szCs w:val="18"/>
          <w:shd w:val="clear" w:color="auto" w:fill="FFFFFF"/>
        </w:rPr>
      </w:pPr>
    </w:p>
    <w:p w:rsidR="00F25AD0" w:rsidRDefault="00F25AD0" w:rsidP="00F25AD0">
      <w:pPr>
        <w:pStyle w:val="ListParagraph"/>
        <w:spacing w:line="480" w:lineRule="auto"/>
        <w:ind w:left="0"/>
      </w:pPr>
      <w:r w:rsidRPr="00722CC4">
        <w:rPr>
          <w:b/>
          <w:szCs w:val="18"/>
          <w:shd w:val="clear" w:color="auto" w:fill="FFFFFF"/>
        </w:rPr>
        <w:t xml:space="preserve">Figure 1 </w:t>
      </w:r>
      <w:r w:rsidRPr="00AD1D3D">
        <w:rPr>
          <w:szCs w:val="18"/>
          <w:shd w:val="clear" w:color="auto" w:fill="FFFFFF"/>
        </w:rPr>
        <w:t>Summary of the</w:t>
      </w:r>
      <w:r>
        <w:rPr>
          <w:b/>
          <w:szCs w:val="18"/>
          <w:shd w:val="clear" w:color="auto" w:fill="FFFFFF"/>
        </w:rPr>
        <w:t xml:space="preserve"> </w:t>
      </w:r>
      <w:r>
        <w:rPr>
          <w:szCs w:val="18"/>
          <w:shd w:val="clear" w:color="auto" w:fill="FFFFFF"/>
        </w:rPr>
        <w:t>e</w:t>
      </w:r>
      <w:r w:rsidRPr="006E14FF">
        <w:rPr>
          <w:szCs w:val="18"/>
          <w:shd w:val="clear" w:color="auto" w:fill="FFFFFF"/>
        </w:rPr>
        <w:t>xperimental time-line as a function of postnatal day (PND). Rats arrive</w:t>
      </w:r>
      <w:r>
        <w:rPr>
          <w:szCs w:val="18"/>
          <w:shd w:val="clear" w:color="auto" w:fill="FFFFFF"/>
        </w:rPr>
        <w:t>d</w:t>
      </w:r>
      <w:r w:rsidRPr="006E14FF">
        <w:rPr>
          <w:szCs w:val="18"/>
          <w:shd w:val="clear" w:color="auto" w:fill="FFFFFF"/>
        </w:rPr>
        <w:t xml:space="preserve"> at PND </w:t>
      </w:r>
      <w:r>
        <w:rPr>
          <w:szCs w:val="18"/>
          <w:shd w:val="clear" w:color="auto" w:fill="FFFFFF"/>
        </w:rPr>
        <w:t>22</w:t>
      </w:r>
      <w:r w:rsidRPr="006E14FF">
        <w:rPr>
          <w:szCs w:val="18"/>
          <w:shd w:val="clear" w:color="auto" w:fill="FFFFFF"/>
        </w:rPr>
        <w:t xml:space="preserve">, and following a 6-day habituation period, </w:t>
      </w:r>
      <w:r>
        <w:rPr>
          <w:szCs w:val="18"/>
          <w:shd w:val="clear" w:color="auto" w:fill="FFFFFF"/>
        </w:rPr>
        <w:t xml:space="preserve">underwent </w:t>
      </w:r>
      <w:r w:rsidRPr="006E14FF">
        <w:rPr>
          <w:szCs w:val="18"/>
          <w:shd w:val="clear" w:color="auto" w:fill="FFFFFF"/>
        </w:rPr>
        <w:t>jugular catheterization surgery</w:t>
      </w:r>
      <w:r>
        <w:rPr>
          <w:szCs w:val="18"/>
          <w:shd w:val="clear" w:color="auto" w:fill="FFFFFF"/>
        </w:rPr>
        <w:t xml:space="preserve"> on PND 28</w:t>
      </w:r>
      <w:r w:rsidRPr="006E14FF">
        <w:rPr>
          <w:szCs w:val="18"/>
          <w:shd w:val="clear" w:color="auto" w:fill="FFFFFF"/>
        </w:rPr>
        <w:t xml:space="preserve">. </w:t>
      </w:r>
      <w:r>
        <w:rPr>
          <w:szCs w:val="18"/>
          <w:shd w:val="clear" w:color="auto" w:fill="FFFFFF"/>
        </w:rPr>
        <w:t>A 5-day s</w:t>
      </w:r>
      <w:r w:rsidRPr="006E14FF">
        <w:rPr>
          <w:szCs w:val="18"/>
          <w:shd w:val="clear" w:color="auto" w:fill="FFFFFF"/>
        </w:rPr>
        <w:t xml:space="preserve">elf-administration training </w:t>
      </w:r>
      <w:r>
        <w:rPr>
          <w:szCs w:val="18"/>
          <w:shd w:val="clear" w:color="auto" w:fill="FFFFFF"/>
        </w:rPr>
        <w:t>period began following recovery</w:t>
      </w:r>
      <w:r w:rsidRPr="006E14FF">
        <w:rPr>
          <w:szCs w:val="18"/>
          <w:shd w:val="clear" w:color="auto" w:fill="FFFFFF"/>
        </w:rPr>
        <w:t xml:space="preserve"> on PND </w:t>
      </w:r>
      <w:r>
        <w:rPr>
          <w:szCs w:val="18"/>
          <w:shd w:val="clear" w:color="auto" w:fill="FFFFFF"/>
        </w:rPr>
        <w:t>30</w:t>
      </w:r>
      <w:r w:rsidRPr="006E14FF">
        <w:rPr>
          <w:szCs w:val="18"/>
          <w:shd w:val="clear" w:color="auto" w:fill="FFFFFF"/>
        </w:rPr>
        <w:t xml:space="preserve"> wherein rats </w:t>
      </w:r>
      <w:r>
        <w:rPr>
          <w:szCs w:val="18"/>
          <w:shd w:val="clear" w:color="auto" w:fill="FFFFFF"/>
        </w:rPr>
        <w:t xml:space="preserve">had fixed ratio 1 </w:t>
      </w:r>
      <w:r w:rsidRPr="006E14FF">
        <w:rPr>
          <w:szCs w:val="18"/>
          <w:shd w:val="clear" w:color="auto" w:fill="FFFFFF"/>
        </w:rPr>
        <w:t xml:space="preserve">access to 20 nicotine or saline infusions/day. </w:t>
      </w:r>
      <w:r>
        <w:rPr>
          <w:szCs w:val="18"/>
          <w:shd w:val="clear" w:color="auto" w:fill="FFFFFF"/>
        </w:rPr>
        <w:t xml:space="preserve">A </w:t>
      </w:r>
      <w:r w:rsidRPr="006E14FF">
        <w:rPr>
          <w:szCs w:val="18"/>
          <w:shd w:val="clear" w:color="auto" w:fill="FFFFFF"/>
        </w:rPr>
        <w:t>10-day extended access peri</w:t>
      </w:r>
      <w:r>
        <w:rPr>
          <w:szCs w:val="18"/>
          <w:shd w:val="clear" w:color="auto" w:fill="FFFFFF"/>
        </w:rPr>
        <w:t>od began on PND 35 wherein</w:t>
      </w:r>
      <w:r w:rsidRPr="006E14FF">
        <w:rPr>
          <w:szCs w:val="18"/>
          <w:shd w:val="clear" w:color="auto" w:fill="FFFFFF"/>
        </w:rPr>
        <w:t xml:space="preserve"> rats </w:t>
      </w:r>
      <w:r>
        <w:rPr>
          <w:szCs w:val="18"/>
          <w:shd w:val="clear" w:color="auto" w:fill="FFFFFF"/>
        </w:rPr>
        <w:t>had</w:t>
      </w:r>
      <w:r w:rsidRPr="006E14FF">
        <w:rPr>
          <w:szCs w:val="18"/>
          <w:shd w:val="clear" w:color="auto" w:fill="FFFFFF"/>
        </w:rPr>
        <w:t xml:space="preserve"> access to an unlimited number of infusions for 23-hours/day. </w:t>
      </w:r>
      <w:r>
        <w:t>During the 10-day abstinence period that followed, rats had 2-hour/day access to an unlocked (exercise) or locked (sedentary) running wheel (PND 45–54). After the last exercise/sedentary session, rats were returned to their self-administration boxes. Nicotine-seeking was assessed the next day on PND 55 using a within-session extinction/cue-induced reinstatement procedure.</w:t>
      </w:r>
    </w:p>
    <w:p w:rsidR="00F25AD0" w:rsidRDefault="00F25AD0" w:rsidP="00F25AD0">
      <w:pPr>
        <w:pStyle w:val="ListParagraph"/>
        <w:spacing w:line="480" w:lineRule="auto"/>
        <w:ind w:left="0"/>
        <w:rPr>
          <w:b/>
          <w:szCs w:val="18"/>
          <w:shd w:val="clear" w:color="auto" w:fill="FFFFFF"/>
        </w:rPr>
      </w:pPr>
    </w:p>
    <w:p w:rsidR="00F25AD0" w:rsidRPr="00722CC4" w:rsidRDefault="00F25AD0" w:rsidP="00F25AD0">
      <w:pPr>
        <w:pStyle w:val="ListParagraph"/>
        <w:spacing w:line="480" w:lineRule="auto"/>
        <w:ind w:left="0"/>
        <w:rPr>
          <w:szCs w:val="18"/>
          <w:shd w:val="clear" w:color="auto" w:fill="FFFFFF"/>
        </w:rPr>
      </w:pPr>
      <w:r>
        <w:rPr>
          <w:b/>
          <w:szCs w:val="18"/>
          <w:shd w:val="clear" w:color="auto" w:fill="FFFFFF"/>
        </w:rPr>
        <w:t>Figure 2</w:t>
      </w:r>
      <w:r w:rsidRPr="00722CC4">
        <w:rPr>
          <w:b/>
          <w:szCs w:val="18"/>
          <w:shd w:val="clear" w:color="auto" w:fill="FFFFFF"/>
        </w:rPr>
        <w:t xml:space="preserve"> </w:t>
      </w:r>
      <w:r w:rsidRPr="00722CC4">
        <w:rPr>
          <w:szCs w:val="18"/>
          <w:shd w:val="clear" w:color="auto" w:fill="FFFFFF"/>
        </w:rPr>
        <w:t>Schematic of areas within the nucleus accumbens core (</w:t>
      </w:r>
      <w:proofErr w:type="spellStart"/>
      <w:r w:rsidRPr="00722CC4">
        <w:rPr>
          <w:szCs w:val="18"/>
          <w:shd w:val="clear" w:color="auto" w:fill="FFFFFF"/>
        </w:rPr>
        <w:t>AcbC</w:t>
      </w:r>
      <w:proofErr w:type="spellEnd"/>
      <w:r w:rsidRPr="00722CC4">
        <w:rPr>
          <w:szCs w:val="18"/>
          <w:shd w:val="clear" w:color="auto" w:fill="FFFFFF"/>
        </w:rPr>
        <w:t xml:space="preserve">; green </w:t>
      </w:r>
      <w:r>
        <w:rPr>
          <w:szCs w:val="18"/>
          <w:shd w:val="clear" w:color="auto" w:fill="FFFFFF"/>
        </w:rPr>
        <w:t>squares</w:t>
      </w:r>
      <w:r w:rsidRPr="00722CC4">
        <w:rPr>
          <w:szCs w:val="18"/>
          <w:shd w:val="clear" w:color="auto" w:fill="FFFFFF"/>
        </w:rPr>
        <w:t>) and shell (</w:t>
      </w:r>
      <w:proofErr w:type="spellStart"/>
      <w:r w:rsidRPr="00722CC4">
        <w:rPr>
          <w:szCs w:val="18"/>
          <w:shd w:val="clear" w:color="auto" w:fill="FFFFFF"/>
        </w:rPr>
        <w:t>AcbS</w:t>
      </w:r>
      <w:proofErr w:type="spellEnd"/>
      <w:r w:rsidRPr="00722CC4">
        <w:rPr>
          <w:szCs w:val="18"/>
          <w:shd w:val="clear" w:color="auto" w:fill="FFFFFF"/>
        </w:rPr>
        <w:t xml:space="preserve">; blue </w:t>
      </w:r>
      <w:r>
        <w:rPr>
          <w:szCs w:val="18"/>
          <w:shd w:val="clear" w:color="auto" w:fill="FFFFFF"/>
        </w:rPr>
        <w:t>squares</w:t>
      </w:r>
      <w:r w:rsidRPr="00722CC4">
        <w:rPr>
          <w:szCs w:val="18"/>
          <w:shd w:val="clear" w:color="auto" w:fill="FFFFFF"/>
        </w:rPr>
        <w:t>) analyzed</w:t>
      </w:r>
      <w:r>
        <w:rPr>
          <w:szCs w:val="18"/>
          <w:shd w:val="clear" w:color="auto" w:fill="FFFFFF"/>
        </w:rPr>
        <w:t xml:space="preserve"> at approximately Bregma 1.92 mm</w:t>
      </w:r>
      <w:r w:rsidRPr="00722CC4">
        <w:rPr>
          <w:szCs w:val="18"/>
          <w:shd w:val="clear" w:color="auto" w:fill="FFFFFF"/>
        </w:rPr>
        <w:t xml:space="preserve">. The orange trapezoid represents the area from each </w:t>
      </w:r>
      <w:r>
        <w:rPr>
          <w:szCs w:val="18"/>
          <w:shd w:val="clear" w:color="auto" w:fill="FFFFFF"/>
        </w:rPr>
        <w:t>coronal slice</w:t>
      </w:r>
      <w:r w:rsidRPr="00722CC4">
        <w:rPr>
          <w:szCs w:val="18"/>
          <w:shd w:val="clear" w:color="auto" w:fill="FFFFFF"/>
        </w:rPr>
        <w:t xml:space="preserve"> that used to make ultrathin sections. Modified from </w:t>
      </w:r>
      <w:proofErr w:type="spellStart"/>
      <w:r w:rsidRPr="00722CC4">
        <w:rPr>
          <w:szCs w:val="18"/>
          <w:shd w:val="clear" w:color="auto" w:fill="FFFFFF"/>
        </w:rPr>
        <w:t>Paxinos</w:t>
      </w:r>
      <w:proofErr w:type="spellEnd"/>
      <w:r w:rsidRPr="00722CC4">
        <w:rPr>
          <w:szCs w:val="18"/>
          <w:shd w:val="clear" w:color="auto" w:fill="FFFFFF"/>
        </w:rPr>
        <w:t xml:space="preserve"> and Watson 200</w:t>
      </w:r>
      <w:r>
        <w:rPr>
          <w:szCs w:val="18"/>
          <w:shd w:val="clear" w:color="auto" w:fill="FFFFFF"/>
        </w:rPr>
        <w:t>6</w:t>
      </w:r>
      <w:r w:rsidRPr="00722CC4">
        <w:rPr>
          <w:szCs w:val="18"/>
          <w:shd w:val="clear" w:color="auto" w:fill="FFFFFF"/>
        </w:rPr>
        <w:t xml:space="preserve">. </w:t>
      </w:r>
    </w:p>
    <w:p w:rsidR="00F25AD0" w:rsidRDefault="00F25AD0" w:rsidP="00F25AD0">
      <w:pPr>
        <w:pStyle w:val="ListParagraph"/>
        <w:spacing w:line="480" w:lineRule="auto"/>
        <w:ind w:left="0"/>
        <w:rPr>
          <w:b/>
        </w:rPr>
      </w:pPr>
    </w:p>
    <w:p w:rsidR="00F25AD0" w:rsidRPr="00722CC4" w:rsidRDefault="00F25AD0" w:rsidP="00F25AD0">
      <w:pPr>
        <w:pStyle w:val="ListParagraph"/>
        <w:spacing w:line="480" w:lineRule="auto"/>
        <w:ind w:left="0"/>
      </w:pPr>
      <w:r w:rsidRPr="00722CC4">
        <w:rPr>
          <w:b/>
        </w:rPr>
        <w:t xml:space="preserve">Figure </w:t>
      </w:r>
      <w:r>
        <w:rPr>
          <w:b/>
        </w:rPr>
        <w:t>3</w:t>
      </w:r>
      <w:r w:rsidRPr="00722CC4">
        <w:t xml:space="preserve"> An example electron micrograph of neuropil from which synapses were measured. In panel </w:t>
      </w:r>
      <w:r>
        <w:rPr>
          <w:b/>
        </w:rPr>
        <w:t>A,</w:t>
      </w:r>
      <w:r w:rsidRPr="00E63DE2">
        <w:t xml:space="preserve"> </w:t>
      </w:r>
      <w:r w:rsidRPr="00722CC4">
        <w:t xml:space="preserve">a dendritic spine that connects back to the dendritic shaft </w:t>
      </w:r>
      <w:r>
        <w:t xml:space="preserve">(dendrite) </w:t>
      </w:r>
      <w:r w:rsidRPr="00722CC4">
        <w:t>is highlighted in red</w:t>
      </w:r>
      <w:r>
        <w:t>,</w:t>
      </w:r>
      <w:r w:rsidRPr="00722CC4">
        <w:t xml:space="preserve"> asymmetric synapses are highlighted in blue, symmetric synapse is highlighted in green</w:t>
      </w:r>
      <w:r>
        <w:t xml:space="preserve"> with black arrow</w:t>
      </w:r>
      <w:r w:rsidRPr="00722CC4">
        <w:t>, and a myelinated axon i</w:t>
      </w:r>
      <w:r>
        <w:t xml:space="preserve">s highlighted in orange. </w:t>
      </w:r>
      <w:r w:rsidRPr="00722CC4">
        <w:t xml:space="preserve">In panel </w:t>
      </w:r>
      <w:r>
        <w:rPr>
          <w:b/>
        </w:rPr>
        <w:t>B</w:t>
      </w:r>
      <w:r w:rsidRPr="00722CC4">
        <w:t xml:space="preserve">, red arrows mark dendritic spines, the black arrow marks a spine apparatus, </w:t>
      </w:r>
      <w:r>
        <w:t xml:space="preserve">and asterisk marks a postsynaptic </w:t>
      </w:r>
      <w:r>
        <w:lastRenderedPageBreak/>
        <w:t xml:space="preserve">dendrite. Panel </w:t>
      </w:r>
      <w:r>
        <w:rPr>
          <w:b/>
        </w:rPr>
        <w:t>C</w:t>
      </w:r>
      <w:r w:rsidRPr="00722CC4">
        <w:t xml:space="preserve"> show</w:t>
      </w:r>
      <w:r>
        <w:t>s</w:t>
      </w:r>
      <w:r w:rsidRPr="00722CC4">
        <w:t xml:space="preserve"> an enlarged image of a dendritic spine </w:t>
      </w:r>
      <w:r>
        <w:t xml:space="preserve">(red arrow) </w:t>
      </w:r>
      <w:r w:rsidRPr="00722CC4">
        <w:t xml:space="preserve">with asymmetric </w:t>
      </w:r>
      <w:r>
        <w:t>and symmetric synapses. Panel</w:t>
      </w:r>
      <w:r w:rsidRPr="00722CC4">
        <w:t xml:space="preserve"> </w:t>
      </w:r>
      <w:r>
        <w:rPr>
          <w:b/>
        </w:rPr>
        <w:t>D</w:t>
      </w:r>
      <w:r w:rsidRPr="00722CC4">
        <w:t xml:space="preserve"> show</w:t>
      </w:r>
      <w:r>
        <w:t>s</w:t>
      </w:r>
      <w:r w:rsidRPr="00722CC4">
        <w:t xml:space="preserve"> an enlarged image of </w:t>
      </w:r>
      <w:r>
        <w:t>an asymmetric synapse</w:t>
      </w:r>
      <w:r w:rsidRPr="00722CC4">
        <w:t xml:space="preserve"> onto a dendrite</w:t>
      </w:r>
      <w:r>
        <w:t xml:space="preserve"> (asterisk)</w:t>
      </w:r>
      <w:r w:rsidRPr="00722CC4">
        <w:t xml:space="preserve"> with a clearly defined synaptic cleft. Scale bar represents 0.5 </w:t>
      </w:r>
      <w:r w:rsidRPr="00722CC4">
        <w:rPr>
          <w:rFonts w:ascii="Symbol" w:hAnsi="Symbol"/>
        </w:rPr>
        <w:t></w:t>
      </w:r>
      <w:r w:rsidRPr="00722CC4">
        <w:t>m.</w:t>
      </w:r>
    </w:p>
    <w:p w:rsidR="00F25AD0" w:rsidRDefault="00F25AD0" w:rsidP="00F25AD0">
      <w:pPr>
        <w:pStyle w:val="ListParagraph"/>
        <w:tabs>
          <w:tab w:val="left" w:pos="450"/>
        </w:tabs>
        <w:spacing w:line="480" w:lineRule="auto"/>
        <w:ind w:left="0"/>
        <w:rPr>
          <w:b/>
        </w:rPr>
      </w:pPr>
    </w:p>
    <w:p w:rsidR="00F25AD0" w:rsidRDefault="00F25AD0" w:rsidP="00F25AD0">
      <w:pPr>
        <w:pStyle w:val="ListParagraph"/>
        <w:spacing w:line="480" w:lineRule="auto"/>
        <w:ind w:left="0"/>
      </w:pPr>
      <w:r w:rsidRPr="00722CC4">
        <w:rPr>
          <w:b/>
        </w:rPr>
        <w:t xml:space="preserve">Figure </w:t>
      </w:r>
      <w:r>
        <w:rPr>
          <w:b/>
        </w:rPr>
        <w:t>4</w:t>
      </w:r>
      <w:r w:rsidRPr="00722CC4">
        <w:t xml:space="preserve"> Behavioral data </w:t>
      </w:r>
      <w:r w:rsidRPr="00E565F0">
        <w:t xml:space="preserve">(mean ± SEM) </w:t>
      </w:r>
      <w:r w:rsidRPr="00722CC4">
        <w:t xml:space="preserve">for extended access self-administration (A and B), distance </w:t>
      </w:r>
      <w:r>
        <w:t>run</w:t>
      </w:r>
      <w:r w:rsidRPr="00722CC4">
        <w:t xml:space="preserve"> during abstinence (C and D), and </w:t>
      </w:r>
      <w:r>
        <w:t xml:space="preserve">active-lever responses </w:t>
      </w:r>
      <w:r w:rsidRPr="00722CC4">
        <w:t>during extinction (E) and reinstatement test</w:t>
      </w:r>
      <w:r>
        <w:t>ing</w:t>
      </w:r>
      <w:r w:rsidRPr="00722CC4">
        <w:t xml:space="preserve"> (F). In p</w:t>
      </w:r>
      <w:r>
        <w:t xml:space="preserve">anel A, the number of infusions obtained </w:t>
      </w:r>
      <w:r w:rsidRPr="00722CC4">
        <w:t xml:space="preserve">is plotted for </w:t>
      </w:r>
      <w:r>
        <w:t>each of the groups and for each of the sessions</w:t>
      </w:r>
      <w:r w:rsidRPr="00722CC4">
        <w:t xml:space="preserve"> during the 10-day extended access self-administration period. </w:t>
      </w:r>
      <w:r>
        <w:t>An asterisk</w:t>
      </w:r>
      <w:r w:rsidRPr="00722CC4">
        <w:t xml:space="preserve"> ind</w:t>
      </w:r>
      <w:r>
        <w:t xml:space="preserve">icate a significant difference </w:t>
      </w:r>
      <w:r w:rsidRPr="00722CC4">
        <w:t xml:space="preserve">between </w:t>
      </w:r>
      <w:r>
        <w:t xml:space="preserve">the </w:t>
      </w:r>
      <w:r w:rsidRPr="00722CC4">
        <w:t xml:space="preserve">saline and nicotine groups. In panel B, average daily nicotine intake is plotted </w:t>
      </w:r>
      <w:r w:rsidR="00F3792C" w:rsidRPr="00F8120A">
        <w:t xml:space="preserve">for each animal in the </w:t>
      </w:r>
      <w:r w:rsidRPr="00F8120A">
        <w:t xml:space="preserve">nicotine </w:t>
      </w:r>
      <w:r w:rsidR="00F3792C" w:rsidRPr="00F8120A">
        <w:t xml:space="preserve">sedentary and nicotine exercise </w:t>
      </w:r>
      <w:r w:rsidRPr="00F8120A">
        <w:t>groups</w:t>
      </w:r>
      <w:r w:rsidRPr="00722CC4">
        <w:t xml:space="preserve">. In panel C, the daily distance run in kilometers (km) is plotted for each exercise session during the 10-day abstinence period. In panel D, the average daily distance run is plotted </w:t>
      </w:r>
      <w:r w:rsidRPr="00F8120A">
        <w:t xml:space="preserve">for </w:t>
      </w:r>
      <w:r w:rsidR="00F3792C" w:rsidRPr="00F8120A">
        <w:t>each animal in the saline exercise and nicotine exercise groups</w:t>
      </w:r>
      <w:r w:rsidR="00F3792C">
        <w:t xml:space="preserve">. </w:t>
      </w:r>
      <w:r>
        <w:t>T</w:t>
      </w:r>
      <w:r w:rsidRPr="00722CC4">
        <w:t xml:space="preserve">he </w:t>
      </w:r>
      <w:r>
        <w:t>active-lever</w:t>
      </w:r>
      <w:r w:rsidRPr="00722CC4">
        <w:t xml:space="preserve"> responses </w:t>
      </w:r>
      <w:r>
        <w:t xml:space="preserve">made </w:t>
      </w:r>
      <w:r w:rsidRPr="00722CC4">
        <w:t xml:space="preserve">during all extinction sessions </w:t>
      </w:r>
      <w:r>
        <w:t xml:space="preserve">(Panel E) and during the last extinction session versus the reinstatement test session (Panel F) </w:t>
      </w:r>
      <w:r w:rsidRPr="00F8120A">
        <w:t xml:space="preserve">is plotted for each </w:t>
      </w:r>
      <w:r w:rsidR="00F3792C" w:rsidRPr="00F8120A">
        <w:t>animal in each of the groups.</w:t>
      </w:r>
      <w:r w:rsidR="00F8120A">
        <w:t xml:space="preserve"> </w:t>
      </w:r>
      <w:r>
        <w:t>In panel E, an asterisk</w:t>
      </w:r>
      <w:r w:rsidRPr="00722CC4">
        <w:t xml:space="preserve"> indicate</w:t>
      </w:r>
      <w:r>
        <w:t>s</w:t>
      </w:r>
      <w:r w:rsidRPr="00722CC4">
        <w:t xml:space="preserve"> a significant difference from </w:t>
      </w:r>
      <w:r>
        <w:t xml:space="preserve">the saline sedentary group, </w:t>
      </w:r>
      <w:r w:rsidRPr="00722CC4">
        <w:t xml:space="preserve">and </w:t>
      </w:r>
      <w:r>
        <w:t>a</w:t>
      </w:r>
      <w:r w:rsidRPr="00722CC4">
        <w:t xml:space="preserve"> number signs indicate</w:t>
      </w:r>
      <w:r>
        <w:t>s</w:t>
      </w:r>
      <w:r w:rsidRPr="00722CC4">
        <w:t xml:space="preserve"> a significant difference from </w:t>
      </w:r>
      <w:r>
        <w:t xml:space="preserve">the </w:t>
      </w:r>
      <w:r w:rsidRPr="00722CC4">
        <w:t>nicotine sedentary</w:t>
      </w:r>
      <w:r>
        <w:t xml:space="preserve"> group</w:t>
      </w:r>
      <w:r w:rsidRPr="00722CC4">
        <w:t>.</w:t>
      </w:r>
      <w:r>
        <w:t xml:space="preserve"> n = 3 (saline, sedentary and exercise) or 4 (nicotine, sedentary and exercise). </w:t>
      </w:r>
      <w:r>
        <w:rPr>
          <w:noProof/>
        </w:rPr>
        <w:t>Exer, exercise; Nic, nicotine; Sal, saline; Sed, sedentary.</w:t>
      </w:r>
    </w:p>
    <w:p w:rsidR="00F25AD0" w:rsidRDefault="00F25AD0" w:rsidP="00F25AD0">
      <w:pPr>
        <w:spacing w:line="480" w:lineRule="auto"/>
        <w:rPr>
          <w:b/>
        </w:rPr>
      </w:pPr>
    </w:p>
    <w:p w:rsidR="00F25AD0" w:rsidRDefault="00F25AD0" w:rsidP="00F25AD0">
      <w:pPr>
        <w:pStyle w:val="ListParagraph"/>
        <w:spacing w:line="480" w:lineRule="auto"/>
        <w:ind w:left="0"/>
      </w:pPr>
      <w:r w:rsidRPr="00F66F3A">
        <w:rPr>
          <w:b/>
        </w:rPr>
        <w:t>Figure 5</w:t>
      </w:r>
      <w:r w:rsidRPr="00F66F3A">
        <w:t xml:space="preserve"> V</w:t>
      </w:r>
      <w:r w:rsidRPr="00E565F0">
        <w:t xml:space="preserve">olumetric density (mean ± SEM) of asymmetric </w:t>
      </w:r>
      <w:r>
        <w:t>synapses onto dendrites (</w:t>
      </w:r>
      <w:r w:rsidRPr="00E565F0">
        <w:t>A and E</w:t>
      </w:r>
      <w:r>
        <w:t>), symmetric</w:t>
      </w:r>
      <w:r w:rsidRPr="00F66F3A">
        <w:t xml:space="preserve"> </w:t>
      </w:r>
      <w:r>
        <w:t>synapses onto dendrites (B and F)</w:t>
      </w:r>
      <w:r w:rsidRPr="00E565F0">
        <w:t>, asymmetric</w:t>
      </w:r>
      <w:r>
        <w:t xml:space="preserve"> synapses</w:t>
      </w:r>
      <w:r w:rsidRPr="00E565F0">
        <w:t xml:space="preserve"> onto spines </w:t>
      </w:r>
      <w:r>
        <w:t>(C and G), and symmetric synapses</w:t>
      </w:r>
      <w:r w:rsidRPr="00E565F0">
        <w:t xml:space="preserve"> onto spines </w:t>
      </w:r>
      <w:r>
        <w:t xml:space="preserve">(D and H) </w:t>
      </w:r>
      <w:r w:rsidRPr="00E565F0">
        <w:t xml:space="preserve">within the core (A-D) and shell (E-H). </w:t>
      </w:r>
      <w:r>
        <w:t xml:space="preserve">Data are based </w:t>
      </w:r>
      <w:r>
        <w:lastRenderedPageBreak/>
        <w:t>on average densities for each of the three regions within the core and shell for each of the rats in the saline (n = 3) and nicotine (n = 4) groups (</w:t>
      </w:r>
      <w:r w:rsidR="00F3792C" w:rsidRPr="00F8120A">
        <w:t>data points are shown for each rat for each of the three regions</w:t>
      </w:r>
      <w:r>
        <w:t>). An asterisk</w:t>
      </w:r>
      <w:r w:rsidRPr="00722CC4">
        <w:t xml:space="preserve"> indicate</w:t>
      </w:r>
      <w:r>
        <w:t>s</w:t>
      </w:r>
      <w:r w:rsidRPr="00722CC4">
        <w:t xml:space="preserve"> a significant difference from </w:t>
      </w:r>
      <w:r>
        <w:t xml:space="preserve">the saline sedentary group (Panel A), </w:t>
      </w:r>
      <w:r w:rsidRPr="00722CC4">
        <w:t xml:space="preserve">and </w:t>
      </w:r>
      <w:r>
        <w:t>a</w:t>
      </w:r>
      <w:r w:rsidRPr="00722CC4">
        <w:t xml:space="preserve"> number signs indicate</w:t>
      </w:r>
      <w:r>
        <w:t>s</w:t>
      </w:r>
      <w:r w:rsidRPr="00722CC4">
        <w:t xml:space="preserve"> a significant difference from </w:t>
      </w:r>
      <w:r>
        <w:t xml:space="preserve">the </w:t>
      </w:r>
      <w:r w:rsidRPr="00722CC4">
        <w:t>nicotine sedentary</w:t>
      </w:r>
      <w:r>
        <w:t xml:space="preserve"> group (Panels A and B)</w:t>
      </w:r>
      <w:r w:rsidRPr="00722CC4">
        <w:t>.</w:t>
      </w:r>
      <w:r>
        <w:t xml:space="preserve"> </w:t>
      </w:r>
      <w:r>
        <w:rPr>
          <w:noProof/>
        </w:rPr>
        <w:t>Exer, exercise; Nic, nicotine; Sal, saline; Sed, sedentary.</w:t>
      </w:r>
    </w:p>
    <w:p w:rsidR="00F25AD0" w:rsidRDefault="00F25AD0" w:rsidP="00F25AD0">
      <w:pPr>
        <w:pStyle w:val="ListParagraph"/>
        <w:spacing w:line="480" w:lineRule="auto"/>
        <w:ind w:left="0"/>
        <w:rPr>
          <w:b/>
          <w:noProof/>
        </w:rPr>
      </w:pPr>
    </w:p>
    <w:p w:rsidR="00F25AD0" w:rsidRDefault="00F25AD0" w:rsidP="00F25AD0">
      <w:pPr>
        <w:pStyle w:val="ListParagraph"/>
        <w:spacing w:line="480" w:lineRule="auto"/>
        <w:ind w:left="0"/>
        <w:rPr>
          <w:noProof/>
        </w:rPr>
      </w:pPr>
      <w:r>
        <w:rPr>
          <w:b/>
          <w:noProof/>
        </w:rPr>
        <w:t>Figure 6</w:t>
      </w:r>
      <w:r>
        <w:rPr>
          <w:noProof/>
        </w:rPr>
        <w:t xml:space="preserve"> Association between total active-lever responses during extinction and the density of asymmetric (A) and symettric (B) synpases onto dendrites averaged over the three regions of the nucleus accumbens core for each subject. </w:t>
      </w:r>
      <w:r>
        <w:t xml:space="preserve">n = 3 (saline, sedentary and exercise) or 4 (nicotine, sedentary and exercise). </w:t>
      </w:r>
      <w:r w:rsidRPr="005077EA">
        <w:rPr>
          <w:noProof/>
        </w:rPr>
        <w:t>Exer, exercise; Nic, nicotine; Sal, saline; Sed, sedentary.</w:t>
      </w:r>
    </w:p>
    <w:p w:rsidR="00F25AD0" w:rsidRPr="00A27BCD" w:rsidRDefault="00F25AD0" w:rsidP="00F25AD0">
      <w:pPr>
        <w:pStyle w:val="ListParagraph"/>
        <w:spacing w:line="480" w:lineRule="auto"/>
        <w:ind w:left="0"/>
        <w:rPr>
          <w:noProof/>
        </w:rPr>
      </w:pPr>
    </w:p>
    <w:p w:rsidR="00F25AD0" w:rsidRPr="0009581E" w:rsidRDefault="00F25AD0" w:rsidP="00F25AD0">
      <w:pPr>
        <w:pStyle w:val="ListParagraph"/>
        <w:spacing w:line="480" w:lineRule="auto"/>
        <w:ind w:left="0"/>
      </w:pPr>
      <w:r w:rsidRPr="0009581E">
        <w:rPr>
          <w:b/>
          <w:noProof/>
        </w:rPr>
        <w:t>Figure 7</w:t>
      </w:r>
      <w:r w:rsidRPr="0009581E">
        <w:rPr>
          <w:noProof/>
        </w:rPr>
        <w:t xml:space="preserve"> </w:t>
      </w:r>
      <w:r>
        <w:rPr>
          <w:noProof/>
        </w:rPr>
        <w:t>Cumulative distribution</w:t>
      </w:r>
      <w:r w:rsidRPr="0009581E">
        <w:rPr>
          <w:noProof/>
        </w:rPr>
        <w:t xml:space="preserve"> </w:t>
      </w:r>
      <w:r>
        <w:rPr>
          <w:noProof/>
        </w:rPr>
        <w:t xml:space="preserve">(% of total) </w:t>
      </w:r>
      <w:r w:rsidRPr="0009581E">
        <w:rPr>
          <w:noProof/>
        </w:rPr>
        <w:t xml:space="preserve">of asymmetric synapses onto spines by length in nucleus accumbens core for </w:t>
      </w:r>
      <w:r>
        <w:rPr>
          <w:noProof/>
        </w:rPr>
        <w:t>each of the groups up to 1.00 µm (A), and for a focused comparison of the saline and nicotine sedentary groups (B), the nicotine sedentary and exercise groups (C), and the saline sedentary and nicot</w:t>
      </w:r>
      <w:r w:rsidR="00FE4BF7">
        <w:rPr>
          <w:noProof/>
        </w:rPr>
        <w:t xml:space="preserve">ine exercise groups up to to </w:t>
      </w:r>
      <w:r w:rsidR="00FE4BF7" w:rsidRPr="00F8120A">
        <w:rPr>
          <w:noProof/>
        </w:rPr>
        <w:t>0.4</w:t>
      </w:r>
      <w:r w:rsidRPr="00F8120A">
        <w:rPr>
          <w:noProof/>
        </w:rPr>
        <w:t>0 µm</w:t>
      </w:r>
      <w:r>
        <w:rPr>
          <w:noProof/>
        </w:rPr>
        <w:t xml:space="preserve">. </w:t>
      </w:r>
      <w:r>
        <w:t>Asterisks</w:t>
      </w:r>
      <w:r w:rsidRPr="00722CC4">
        <w:t xml:space="preserve"> indicate significant difference</w:t>
      </w:r>
      <w:r>
        <w:t xml:space="preserve">s at a p &lt; 0.05 (*) or 0.001 level (***). </w:t>
      </w:r>
      <w:r>
        <w:rPr>
          <w:noProof/>
        </w:rPr>
        <w:t>Exer, exercise; Nic, nicotine; Sal, saline; Sed, sedentary.</w:t>
      </w:r>
    </w:p>
    <w:p w:rsidR="00F25AD0" w:rsidRPr="0009581E" w:rsidRDefault="00F25AD0" w:rsidP="00F25AD0">
      <w:pPr>
        <w:spacing w:line="480" w:lineRule="auto"/>
        <w:rPr>
          <w:b/>
          <w:noProof/>
        </w:rPr>
      </w:pPr>
    </w:p>
    <w:p w:rsidR="00F25AD0" w:rsidRPr="0009581E" w:rsidRDefault="00F25AD0" w:rsidP="00F25AD0">
      <w:pPr>
        <w:pStyle w:val="ListParagraph"/>
        <w:spacing w:line="480" w:lineRule="auto"/>
        <w:ind w:left="0"/>
      </w:pPr>
      <w:r w:rsidRPr="0009581E">
        <w:rPr>
          <w:b/>
          <w:noProof/>
        </w:rPr>
        <w:t xml:space="preserve">Figure </w:t>
      </w:r>
      <w:r>
        <w:rPr>
          <w:b/>
          <w:noProof/>
        </w:rPr>
        <w:t>8</w:t>
      </w:r>
      <w:r w:rsidRPr="0009581E">
        <w:rPr>
          <w:noProof/>
        </w:rPr>
        <w:t xml:space="preserve"> </w:t>
      </w:r>
      <w:r>
        <w:rPr>
          <w:noProof/>
        </w:rPr>
        <w:t>Cumulative distribution</w:t>
      </w:r>
      <w:r w:rsidRPr="0009581E">
        <w:rPr>
          <w:noProof/>
        </w:rPr>
        <w:t xml:space="preserve"> </w:t>
      </w:r>
      <w:r>
        <w:rPr>
          <w:noProof/>
        </w:rPr>
        <w:t xml:space="preserve">(% of total) </w:t>
      </w:r>
      <w:r w:rsidRPr="0009581E">
        <w:rPr>
          <w:noProof/>
        </w:rPr>
        <w:t xml:space="preserve">of asymmetric synapses onto spines by length in nucleus accumbens </w:t>
      </w:r>
      <w:r>
        <w:rPr>
          <w:noProof/>
        </w:rPr>
        <w:t xml:space="preserve">shell </w:t>
      </w:r>
      <w:r w:rsidRPr="0009581E">
        <w:rPr>
          <w:noProof/>
        </w:rPr>
        <w:t xml:space="preserve">for </w:t>
      </w:r>
      <w:r>
        <w:rPr>
          <w:noProof/>
        </w:rPr>
        <w:t>each of the groups up to 1.00 µm (A), and for a focused comparison of the saline and nicotine sedentary groups (B), the nicotine</w:t>
      </w:r>
      <w:bookmarkStart w:id="0" w:name="_GoBack"/>
      <w:bookmarkEnd w:id="0"/>
      <w:r>
        <w:rPr>
          <w:noProof/>
        </w:rPr>
        <w:t xml:space="preserve"> sedentary and exercise groups (C), and the saline sedentary and nicotine exercise groups up to to </w:t>
      </w:r>
      <w:r w:rsidR="00FE4BF7" w:rsidRPr="00F8120A">
        <w:rPr>
          <w:noProof/>
        </w:rPr>
        <w:t>0.4</w:t>
      </w:r>
      <w:r w:rsidRPr="00F8120A">
        <w:rPr>
          <w:noProof/>
        </w:rPr>
        <w:t>0 µm</w:t>
      </w:r>
      <w:r>
        <w:rPr>
          <w:noProof/>
        </w:rPr>
        <w:t xml:space="preserve">. </w:t>
      </w:r>
      <w:r>
        <w:t>Asterisks</w:t>
      </w:r>
      <w:r w:rsidRPr="00722CC4">
        <w:t xml:space="preserve"> indicate significant difference</w:t>
      </w:r>
      <w:r>
        <w:t xml:space="preserve">s at a p &lt; 0.05 (*) or 0.01 level (**). </w:t>
      </w:r>
      <w:r>
        <w:rPr>
          <w:noProof/>
        </w:rPr>
        <w:t>Exer, exercise; Nic, nicotine; Sal, saline; Sed, sedentary.</w:t>
      </w:r>
    </w:p>
    <w:p w:rsidR="007A0181" w:rsidRDefault="00F8120A"/>
    <w:sectPr w:rsidR="007A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D0"/>
    <w:rsid w:val="000E622B"/>
    <w:rsid w:val="00B7021A"/>
    <w:rsid w:val="00F25AD0"/>
    <w:rsid w:val="00F3792C"/>
    <w:rsid w:val="00F8120A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2F3DA-F024-4A34-871C-19DA20D4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Bakhti-Suroosh, Anousheh (ab5vd)</dc:creator>
  <cp:keywords/>
  <dc:description/>
  <cp:lastModifiedBy>Bakhti-Suroosh, Anousheh (ab5vd)</cp:lastModifiedBy>
  <cp:revision>4</cp:revision>
  <dcterms:created xsi:type="dcterms:W3CDTF">2019-02-18T20:23:00Z</dcterms:created>
  <dcterms:modified xsi:type="dcterms:W3CDTF">2019-03-01T18:46:00Z</dcterms:modified>
</cp:coreProperties>
</file>