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AE" w:rsidRDefault="00474BAE" w:rsidP="00474BAE">
      <w:pPr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C429A4"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US"/>
        </w:rPr>
        <w:t>legends</w:t>
      </w:r>
    </w:p>
    <w:p w:rsidR="00474BAE" w:rsidRDefault="00474BAE" w:rsidP="00474BAE">
      <w:pPr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74BAE" w:rsidRDefault="00474BAE" w:rsidP="00474BAE">
      <w:pPr>
        <w:spacing w:line="480" w:lineRule="auto"/>
        <w:ind w:left="0" w:right="90"/>
        <w:rPr>
          <w:rFonts w:ascii="Times New Roman" w:hAnsi="Times New Roman"/>
          <w:bCs/>
          <w:sz w:val="24"/>
          <w:szCs w:val="24"/>
          <w:lang w:val="en-US"/>
        </w:rPr>
      </w:pPr>
      <w:r w:rsidRPr="00B43984">
        <w:rPr>
          <w:rFonts w:ascii="Times New Roman" w:hAnsi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/>
          <w:b/>
          <w:sz w:val="24"/>
          <w:szCs w:val="24"/>
          <w:lang w:val="en-US"/>
        </w:rPr>
        <w:t>ure</w:t>
      </w:r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554367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Open field motor activity in the novel environment: 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 xml:space="preserve">Effects of adolescent escalating low dose </w:t>
      </w:r>
      <w:r w:rsidRPr="007A1784">
        <w:rPr>
          <w:rFonts w:ascii="Times New Roman" w:hAnsi="Times New Roman"/>
          <w:bCs/>
          <w:sz w:val="24"/>
          <w:szCs w:val="24"/>
        </w:rPr>
        <w:t>Δ</w:t>
      </w:r>
      <w:r w:rsidRPr="007A17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 xml:space="preserve">-THC treatment on non-habituated adult male and female rats.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A)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D)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Ambulatory counts, B)</w:t>
      </w:r>
      <w:r>
        <w:rPr>
          <w:rFonts w:ascii="Times New Roman" w:hAnsi="Times New Roman"/>
          <w:bCs/>
          <w:sz w:val="24"/>
          <w:szCs w:val="24"/>
          <w:lang w:val="en-US"/>
        </w:rPr>
        <w:t>, E)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 Vertical counts, C)</w:t>
      </w:r>
      <w:r>
        <w:rPr>
          <w:rFonts w:ascii="Times New Roman" w:hAnsi="Times New Roman"/>
          <w:bCs/>
          <w:sz w:val="24"/>
          <w:szCs w:val="24"/>
          <w:lang w:val="en-US"/>
        </w:rPr>
        <w:t>, F)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 Time spent in the center of the open field box. *: </w:t>
      </w:r>
      <w:r w:rsidRPr="00B43984">
        <w:rPr>
          <w:rFonts w:ascii="Times New Roman" w:hAnsi="Times New Roman"/>
          <w:bCs/>
          <w:sz w:val="24"/>
          <w:szCs w:val="24"/>
        </w:rPr>
        <w:t>Δ</w:t>
      </w:r>
      <w:r w:rsidRPr="00B439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B43984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0.05, *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*: </w:t>
      </w:r>
      <w:r w:rsidRPr="00B43984">
        <w:rPr>
          <w:rFonts w:ascii="Times New Roman" w:hAnsi="Times New Roman"/>
          <w:bCs/>
          <w:sz w:val="24"/>
          <w:szCs w:val="24"/>
        </w:rPr>
        <w:t>Δ</w:t>
      </w:r>
      <w:r w:rsidRPr="00B439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B43984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0.01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Default="00474BAE" w:rsidP="00474BAE">
      <w:pPr>
        <w:spacing w:line="480" w:lineRule="auto"/>
        <w:ind w:left="0" w:right="90"/>
        <w:rPr>
          <w:rFonts w:ascii="Times New Roman" w:hAnsi="Times New Roman"/>
          <w:b/>
          <w:sz w:val="24"/>
          <w:szCs w:val="24"/>
          <w:lang w:val="en-US"/>
        </w:rPr>
      </w:pPr>
    </w:p>
    <w:p w:rsidR="00474BAE" w:rsidRPr="007A1784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43984">
        <w:rPr>
          <w:rFonts w:ascii="Times New Roman" w:hAnsi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/>
          <w:b/>
          <w:sz w:val="24"/>
          <w:szCs w:val="24"/>
          <w:lang w:val="en-US"/>
        </w:rPr>
        <w:t>ure</w:t>
      </w:r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Pr="0055436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Habituation profile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>after repeated placements in the open field</w:t>
      </w:r>
      <w:r w:rsidRPr="007A178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 xml:space="preserve">Effects of adolescent escalating low dose </w:t>
      </w:r>
      <w:r w:rsidRPr="007A1784">
        <w:rPr>
          <w:rFonts w:ascii="Times New Roman" w:hAnsi="Times New Roman"/>
          <w:bCs/>
          <w:sz w:val="24"/>
          <w:szCs w:val="24"/>
        </w:rPr>
        <w:t>Δ</w:t>
      </w:r>
      <w:r w:rsidRPr="007A17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 xml:space="preserve">-THC treatment on </w:t>
      </w:r>
      <w:r w:rsidRPr="00902071">
        <w:rPr>
          <w:rFonts w:ascii="Times New Roman" w:hAnsi="Times New Roman"/>
          <w:sz w:val="24"/>
          <w:szCs w:val="24"/>
          <w:lang w:val="en-US"/>
        </w:rPr>
        <w:t>A)</w:t>
      </w:r>
      <w:r w:rsidRPr="007A178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C)</w:t>
      </w:r>
      <w:r w:rsidRPr="00902071">
        <w:rPr>
          <w:rFonts w:ascii="Times New Roman" w:hAnsi="Times New Roman"/>
          <w:sz w:val="24"/>
          <w:szCs w:val="24"/>
          <w:lang w:val="en-US"/>
        </w:rPr>
        <w:t xml:space="preserve"> Vertical counts over four consecutive days, B)</w:t>
      </w:r>
      <w:r>
        <w:rPr>
          <w:rFonts w:ascii="Times New Roman" w:hAnsi="Times New Roman"/>
          <w:sz w:val="24"/>
          <w:szCs w:val="24"/>
          <w:lang w:val="en-US"/>
        </w:rPr>
        <w:t>, D)</w:t>
      </w:r>
      <w:r w:rsidRPr="00902071">
        <w:rPr>
          <w:rFonts w:ascii="Times New Roman" w:hAnsi="Times New Roman"/>
          <w:sz w:val="24"/>
          <w:szCs w:val="24"/>
          <w:lang w:val="en-US"/>
        </w:rPr>
        <w:t xml:space="preserve"> Ambulatory counts over four consecutive days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Default="00474BAE" w:rsidP="00474BAE">
      <w:pPr>
        <w:spacing w:line="480" w:lineRule="auto"/>
        <w:ind w:left="0" w:right="90"/>
        <w:rPr>
          <w:rFonts w:ascii="Times New Roman" w:hAnsi="Times New Roman"/>
          <w:bCs/>
          <w:sz w:val="24"/>
          <w:szCs w:val="24"/>
          <w:lang w:val="en-US"/>
        </w:rPr>
      </w:pPr>
      <w:r w:rsidRPr="00902071">
        <w:rPr>
          <w:rFonts w:ascii="Times New Roman" w:hAnsi="Times New Roman"/>
          <w:sz w:val="24"/>
          <w:szCs w:val="24"/>
          <w:lang w:val="en-US"/>
        </w:rPr>
        <w:t>*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902071">
        <w:rPr>
          <w:rFonts w:ascii="Times New Roman" w:hAnsi="Times New Roman"/>
          <w:bCs/>
          <w:sz w:val="24"/>
          <w:szCs w:val="24"/>
        </w:rPr>
        <w:t>Δ</w:t>
      </w:r>
      <w:r w:rsidRPr="00902071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902071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≤0.05, **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≤0.01 ***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≤0.001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; ^: Day 1 </w:t>
      </w:r>
      <w:r w:rsidRPr="00902071">
        <w:rPr>
          <w:rFonts w:ascii="Times New Roman" w:hAnsi="Times New Roman"/>
          <w:bCs/>
          <w:i/>
          <w:sz w:val="24"/>
          <w:szCs w:val="24"/>
          <w:lang w:val="en-US"/>
        </w:rPr>
        <w:t>vs.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 Days 2, 3, 4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0.001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; $: Day 2 </w:t>
      </w:r>
      <w:r w:rsidRPr="00902071">
        <w:rPr>
          <w:rFonts w:ascii="Times New Roman" w:hAnsi="Times New Roman"/>
          <w:bCs/>
          <w:i/>
          <w:sz w:val="24"/>
          <w:szCs w:val="24"/>
          <w:lang w:val="en-US"/>
        </w:rPr>
        <w:t>vs.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 Days 3, 4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≤0.01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474BAE" w:rsidRPr="007A1784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Figure 3</w:t>
      </w:r>
      <w:r w:rsidRPr="004769E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Ο</w:t>
      </w:r>
      <w:proofErr w:type="spellStart"/>
      <w:r w:rsidRPr="00B43984">
        <w:rPr>
          <w:rFonts w:ascii="Times New Roman" w:hAnsi="Times New Roman"/>
          <w:b/>
          <w:sz w:val="24"/>
          <w:szCs w:val="24"/>
          <w:lang w:val="en-US"/>
        </w:rPr>
        <w:t>bject</w:t>
      </w:r>
      <w:proofErr w:type="spellEnd"/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location task</w:t>
      </w:r>
      <w:r w:rsidRPr="007A178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 xml:space="preserve">Effects of adolescent escalating low dose </w:t>
      </w:r>
      <w:r w:rsidRPr="007A1784">
        <w:rPr>
          <w:rFonts w:ascii="Times New Roman" w:hAnsi="Times New Roman"/>
          <w:bCs/>
          <w:sz w:val="24"/>
          <w:szCs w:val="24"/>
        </w:rPr>
        <w:t>Δ</w:t>
      </w:r>
      <w:r w:rsidRPr="007A17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7A1784">
        <w:rPr>
          <w:rFonts w:ascii="Times New Roman" w:hAnsi="Times New Roman"/>
          <w:bCs/>
          <w:sz w:val="24"/>
          <w:szCs w:val="24"/>
          <w:lang w:val="en-US"/>
        </w:rPr>
        <w:t>-THC treatment on</w:t>
      </w:r>
      <w:r w:rsidRPr="007A1784">
        <w:rPr>
          <w:rFonts w:ascii="Times New Roman" w:hAnsi="Times New Roman"/>
          <w:sz w:val="24"/>
          <w:szCs w:val="24"/>
          <w:lang w:val="en-US"/>
        </w:rPr>
        <w:t xml:space="preserve"> A) C) Discrimination Index (DI) and B), D)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7A1784">
        <w:rPr>
          <w:rFonts w:ascii="Times New Roman" w:hAnsi="Times New Roman"/>
          <w:sz w:val="24"/>
          <w:szCs w:val="24"/>
          <w:lang w:val="en-US"/>
        </w:rPr>
        <w:t>otal time spent exploring the two objects during the habituation phase of the test. *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Pr="00902071">
        <w:rPr>
          <w:rFonts w:ascii="Times New Roman" w:hAnsi="Times New Roman"/>
          <w:bCs/>
          <w:sz w:val="24"/>
          <w:szCs w:val="24"/>
        </w:rPr>
        <w:t>Δ</w:t>
      </w:r>
      <w:r w:rsidRPr="00902071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902071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902071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 xml:space="preserve">≤0.05, ***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0.001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4BAE" w:rsidRDefault="00474BAE" w:rsidP="00474BAE">
      <w:pPr>
        <w:spacing w:line="480" w:lineRule="auto"/>
        <w:ind w:left="0" w:right="9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Figure 4</w:t>
      </w:r>
      <w:r w:rsidRPr="007A178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BDNF protein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expression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levels in the prefrontal cortex and hippocampus of adult male and female rats following adolescent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escalating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low-dose </w:t>
      </w:r>
      <w:r w:rsidRPr="00B43984">
        <w:rPr>
          <w:rFonts w:ascii="Times New Roman" w:hAnsi="Times New Roman"/>
          <w:b/>
          <w:bCs/>
          <w:sz w:val="24"/>
          <w:szCs w:val="24"/>
        </w:rPr>
        <w:t>Δ</w:t>
      </w:r>
      <w:r w:rsidRPr="00B43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>-THC treatment</w:t>
      </w:r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50233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optical density of each band </w:t>
      </w:r>
      <w:r w:rsidRPr="00502333">
        <w:rPr>
          <w:rFonts w:ascii="Times New Roman" w:hAnsi="Times New Roman"/>
          <w:sz w:val="24"/>
          <w:szCs w:val="24"/>
          <w:lang w:val="en-US"/>
        </w:rPr>
        <w:t>was divided by the corres</w:t>
      </w:r>
      <w:r w:rsidRPr="007067B4">
        <w:rPr>
          <w:rFonts w:ascii="Times New Roman" w:hAnsi="Times New Roman"/>
          <w:sz w:val="24"/>
          <w:szCs w:val="24"/>
          <w:lang w:val="en-US"/>
        </w:rPr>
        <w:t>ponding b-</w:t>
      </w:r>
      <w:proofErr w:type="spellStart"/>
      <w:r w:rsidRPr="007067B4">
        <w:rPr>
          <w:rFonts w:ascii="Times New Roman" w:hAnsi="Times New Roman"/>
          <w:sz w:val="24"/>
          <w:szCs w:val="24"/>
          <w:lang w:val="en-US"/>
        </w:rPr>
        <w:t>actin</w:t>
      </w:r>
      <w:proofErr w:type="spellEnd"/>
      <w:r w:rsidRPr="007067B4">
        <w:rPr>
          <w:rFonts w:ascii="Times New Roman" w:hAnsi="Times New Roman"/>
          <w:sz w:val="24"/>
          <w:szCs w:val="24"/>
          <w:lang w:val="en-US"/>
        </w:rPr>
        <w:t xml:space="preserve"> band to yield the cor</w:t>
      </w:r>
      <w:r w:rsidR="009D6A1A">
        <w:rPr>
          <w:rFonts w:ascii="Times New Roman" w:hAnsi="Times New Roman"/>
          <w:sz w:val="24"/>
          <w:szCs w:val="24"/>
          <w:lang w:val="en-US"/>
        </w:rPr>
        <w:t>rected band intensity. [</w:t>
      </w:r>
      <w:r w:rsidRPr="007067B4">
        <w:rPr>
          <w:rFonts w:ascii="Times New Roman" w:hAnsi="Times New Roman"/>
          <w:sz w:val="24"/>
          <w:szCs w:val="24"/>
          <w:lang w:val="en-US"/>
        </w:rPr>
        <w:t>PFC: n=8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67B4">
        <w:rPr>
          <w:rFonts w:ascii="Times New Roman" w:hAnsi="Times New Roman"/>
          <w:sz w:val="24"/>
          <w:szCs w:val="24"/>
          <w:lang w:val="en-US"/>
        </w:rPr>
        <w:t>veh</w:t>
      </w:r>
      <w:proofErr w:type="spellEnd"/>
      <w:r w:rsidRPr="007067B4">
        <w:rPr>
          <w:rFonts w:ascii="Times New Roman" w:hAnsi="Times New Roman"/>
          <w:sz w:val="24"/>
          <w:szCs w:val="24"/>
          <w:lang w:val="en-US"/>
        </w:rPr>
        <w:t>,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67B4">
        <w:rPr>
          <w:rFonts w:ascii="Times New Roman" w:hAnsi="Times New Roman"/>
          <w:sz w:val="24"/>
          <w:szCs w:val="24"/>
          <w:lang w:val="en-US"/>
        </w:rPr>
        <w:t xml:space="preserve">n=8 </w:t>
      </w:r>
      <w:r>
        <w:rPr>
          <w:rFonts w:ascii="Times New Roman" w:hAnsi="Times New Roman"/>
          <w:sz w:val="24"/>
          <w:szCs w:val="24"/>
        </w:rPr>
        <w:lastRenderedPageBreak/>
        <w:t>Δ</w:t>
      </w:r>
      <w:r w:rsidRPr="007F14E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7F14EA">
        <w:rPr>
          <w:rFonts w:ascii="Times New Roman" w:hAnsi="Times New Roman"/>
          <w:sz w:val="24"/>
          <w:szCs w:val="24"/>
          <w:lang w:val="en-US"/>
        </w:rPr>
        <w:t>-</w:t>
      </w:r>
      <w:r w:rsidRPr="007067B4">
        <w:rPr>
          <w:rFonts w:ascii="Times New Roman" w:hAnsi="Times New Roman"/>
          <w:sz w:val="24"/>
          <w:szCs w:val="24"/>
          <w:lang w:val="en-US"/>
        </w:rPr>
        <w:t>THC treated rats for males and females respectively</w:t>
      </w:r>
      <w:r w:rsidRPr="00474BAE">
        <w:rPr>
          <w:rFonts w:ascii="Times New Roman" w:hAnsi="Times New Roman"/>
          <w:sz w:val="24"/>
          <w:szCs w:val="24"/>
          <w:lang w:val="en-US"/>
        </w:rPr>
        <w:t>,</w:t>
      </w:r>
      <w:r w:rsidRPr="007067B4">
        <w:rPr>
          <w:rFonts w:ascii="Times New Roman" w:hAnsi="Times New Roman"/>
          <w:sz w:val="24"/>
          <w:szCs w:val="24"/>
          <w:lang w:val="en-US"/>
        </w:rPr>
        <w:t xml:space="preserve"> HIP: n=9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67B4">
        <w:rPr>
          <w:rFonts w:ascii="Times New Roman" w:hAnsi="Times New Roman"/>
          <w:sz w:val="24"/>
          <w:szCs w:val="24"/>
          <w:lang w:val="en-US"/>
        </w:rPr>
        <w:t>veh</w:t>
      </w:r>
      <w:proofErr w:type="spellEnd"/>
      <w:r w:rsidRPr="007067B4">
        <w:rPr>
          <w:rFonts w:ascii="Times New Roman" w:hAnsi="Times New Roman"/>
          <w:sz w:val="24"/>
          <w:szCs w:val="24"/>
          <w:lang w:val="en-US"/>
        </w:rPr>
        <w:t>,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67B4">
        <w:rPr>
          <w:rFonts w:ascii="Times New Roman" w:hAnsi="Times New Roman"/>
          <w:sz w:val="24"/>
          <w:szCs w:val="24"/>
          <w:lang w:val="en-US"/>
        </w:rPr>
        <w:t xml:space="preserve">n=8 </w:t>
      </w:r>
      <w:r>
        <w:rPr>
          <w:rFonts w:ascii="Times New Roman" w:hAnsi="Times New Roman"/>
          <w:sz w:val="24"/>
          <w:szCs w:val="24"/>
        </w:rPr>
        <w:t>Δ</w:t>
      </w:r>
      <w:r w:rsidRPr="007F14E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7F14EA">
        <w:rPr>
          <w:rFonts w:ascii="Times New Roman" w:hAnsi="Times New Roman"/>
          <w:sz w:val="24"/>
          <w:szCs w:val="24"/>
          <w:lang w:val="en-US"/>
        </w:rPr>
        <w:t>-</w:t>
      </w:r>
      <w:r w:rsidRPr="007067B4">
        <w:rPr>
          <w:rFonts w:ascii="Times New Roman" w:hAnsi="Times New Roman"/>
          <w:sz w:val="24"/>
          <w:szCs w:val="24"/>
          <w:lang w:val="en-US"/>
        </w:rPr>
        <w:t>THC for males and females respectively]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*: </w:t>
      </w:r>
      <w:r w:rsidRPr="00B43984">
        <w:rPr>
          <w:rFonts w:ascii="Times New Roman" w:hAnsi="Times New Roman"/>
          <w:bCs/>
          <w:sz w:val="24"/>
          <w:szCs w:val="24"/>
        </w:rPr>
        <w:t>Δ</w:t>
      </w:r>
      <w:r w:rsidRPr="00B439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B43984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0.05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Pr="00BE5324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474BAE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43984">
        <w:rPr>
          <w:rFonts w:ascii="Times New Roman" w:hAnsi="Times New Roman"/>
          <w:b/>
          <w:sz w:val="24"/>
          <w:szCs w:val="24"/>
          <w:lang w:val="en-US"/>
        </w:rPr>
        <w:t>Fi</w:t>
      </w:r>
      <w:r>
        <w:rPr>
          <w:rFonts w:ascii="Times New Roman" w:hAnsi="Times New Roman"/>
          <w:b/>
          <w:sz w:val="24"/>
          <w:szCs w:val="24"/>
          <w:lang w:val="en-US"/>
        </w:rPr>
        <w:t>gure</w:t>
      </w:r>
      <w:r w:rsidRPr="00474B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554367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Region-dependent alterations in the </w:t>
      </w:r>
      <w:proofErr w:type="spellStart"/>
      <w:r w:rsidRPr="00B43984">
        <w:rPr>
          <w:rFonts w:ascii="Times New Roman" w:hAnsi="Times New Roman"/>
          <w:b/>
          <w:sz w:val="24"/>
          <w:szCs w:val="24"/>
          <w:lang w:val="en-US"/>
        </w:rPr>
        <w:t>serotonergic</w:t>
      </w:r>
      <w:proofErr w:type="spellEnd"/>
      <w:r w:rsidRPr="00B43984">
        <w:rPr>
          <w:rFonts w:ascii="Times New Roman" w:hAnsi="Times New Roman"/>
          <w:b/>
          <w:sz w:val="24"/>
          <w:szCs w:val="24"/>
          <w:lang w:val="en-US"/>
        </w:rPr>
        <w:t xml:space="preserve"> profile of both sexes: </w:t>
      </w:r>
      <w:proofErr w:type="spellStart"/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>Serotonergic</w:t>
      </w:r>
      <w:proofErr w:type="spellEnd"/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 activity status in adult male and female rats following adolescent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escalating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low-dose </w:t>
      </w:r>
      <w:r w:rsidRPr="00B43984">
        <w:rPr>
          <w:rFonts w:ascii="Times New Roman" w:hAnsi="Times New Roman"/>
          <w:b/>
          <w:bCs/>
          <w:sz w:val="24"/>
          <w:szCs w:val="24"/>
        </w:rPr>
        <w:t>Δ</w:t>
      </w:r>
      <w:r w:rsidRPr="00B43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>-THC treatment</w:t>
      </w:r>
      <w:r w:rsidR="00FD418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474BA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43984">
        <w:rPr>
          <w:rFonts w:ascii="Times New Roman" w:hAnsi="Times New Roman"/>
          <w:bCs/>
          <w:sz w:val="24"/>
          <w:szCs w:val="24"/>
        </w:rPr>
        <w:t>Α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  <w:lang w:val="en-US"/>
        </w:rPr>
        <w:t>, E)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 5-HT tissue levels, B)</w:t>
      </w:r>
      <w:r>
        <w:rPr>
          <w:rFonts w:ascii="Times New Roman" w:hAnsi="Times New Roman"/>
          <w:bCs/>
          <w:sz w:val="24"/>
          <w:szCs w:val="24"/>
          <w:lang w:val="en-US"/>
        </w:rPr>
        <w:t>, F)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 5-HIAA tissue levels, C)</w:t>
      </w:r>
      <w:r>
        <w:rPr>
          <w:rFonts w:ascii="Times New Roman" w:hAnsi="Times New Roman"/>
          <w:bCs/>
          <w:sz w:val="24"/>
          <w:szCs w:val="24"/>
          <w:lang w:val="en-US"/>
        </w:rPr>
        <w:t>, G)</w:t>
      </w:r>
      <w:r w:rsidRPr="00474B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5-HIAA/5-HT ratio </w:t>
      </w:r>
      <w:r w:rsidRPr="00B43984">
        <w:rPr>
          <w:rFonts w:ascii="Times New Roman" w:hAnsi="Times New Roman"/>
          <w:sz w:val="24"/>
          <w:szCs w:val="24"/>
          <w:lang w:val="en-US"/>
        </w:rPr>
        <w:t>in the adult PFC and hippocampus.</w:t>
      </w:r>
      <w:r>
        <w:rPr>
          <w:rFonts w:ascii="Times New Roman" w:hAnsi="Times New Roman"/>
          <w:bCs/>
          <w:sz w:val="24"/>
          <w:szCs w:val="24"/>
          <w:lang w:val="en-US"/>
        </w:rPr>
        <w:t>*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*: </w:t>
      </w:r>
      <w:r w:rsidRPr="00B43984">
        <w:rPr>
          <w:rFonts w:ascii="Times New Roman" w:hAnsi="Times New Roman"/>
          <w:bCs/>
          <w:sz w:val="24"/>
          <w:szCs w:val="24"/>
        </w:rPr>
        <w:t>Δ</w:t>
      </w:r>
      <w:r w:rsidRPr="00B43984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 xml:space="preserve">-THC </w:t>
      </w:r>
      <w:r w:rsidRPr="00B43984">
        <w:rPr>
          <w:rFonts w:ascii="Times New Roman" w:hAnsi="Times New Roman"/>
          <w:bCs/>
          <w:i/>
          <w:sz w:val="24"/>
          <w:szCs w:val="24"/>
          <w:lang w:val="en-US"/>
        </w:rPr>
        <w:t xml:space="preserve">vs. 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0.01</w:t>
      </w:r>
      <w:r w:rsidRPr="00B4398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74BAE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4BAE" w:rsidRPr="00C77DF0" w:rsidRDefault="00474BAE" w:rsidP="00474BAE">
      <w:p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Figure 6</w:t>
      </w:r>
      <w:r w:rsidRPr="007A178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SERT protein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expression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levels in adult male and female rats following adolescent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escalating 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low-dose </w:t>
      </w:r>
      <w:r w:rsidRPr="00B43984">
        <w:rPr>
          <w:rFonts w:ascii="Times New Roman" w:hAnsi="Times New Roman"/>
          <w:b/>
          <w:bCs/>
          <w:sz w:val="24"/>
          <w:szCs w:val="24"/>
        </w:rPr>
        <w:t>Δ</w:t>
      </w:r>
      <w:r w:rsidRPr="00B43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9</w:t>
      </w:r>
      <w:r w:rsidRPr="00B43984">
        <w:rPr>
          <w:rFonts w:ascii="Times New Roman" w:hAnsi="Times New Roman"/>
          <w:b/>
          <w:bCs/>
          <w:sz w:val="24"/>
          <w:szCs w:val="24"/>
          <w:lang w:val="en-US"/>
        </w:rPr>
        <w:t xml:space="preserve">-THC treatment. </w:t>
      </w:r>
      <w:r w:rsidRPr="0050233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optical density of each band </w:t>
      </w:r>
      <w:r w:rsidRPr="00502333">
        <w:rPr>
          <w:rFonts w:ascii="Times New Roman" w:hAnsi="Times New Roman"/>
          <w:sz w:val="24"/>
          <w:szCs w:val="24"/>
          <w:lang w:val="en-US"/>
        </w:rPr>
        <w:t xml:space="preserve">was divided by the corresponding </w:t>
      </w:r>
      <w:r>
        <w:rPr>
          <w:rFonts w:ascii="Times New Roman" w:hAnsi="Times New Roman"/>
          <w:sz w:val="24"/>
          <w:szCs w:val="24"/>
          <w:lang w:val="en-US"/>
        </w:rPr>
        <w:t xml:space="preserve">GAPDH </w:t>
      </w:r>
      <w:r w:rsidRPr="00502333">
        <w:rPr>
          <w:rFonts w:ascii="Times New Roman" w:hAnsi="Times New Roman"/>
          <w:sz w:val="24"/>
          <w:szCs w:val="24"/>
          <w:lang w:val="en-US"/>
        </w:rPr>
        <w:t>band to yield the corrected band intensity</w:t>
      </w:r>
      <w:r w:rsidR="00296FCB">
        <w:rPr>
          <w:rFonts w:ascii="Times New Roman" w:hAnsi="Times New Roman"/>
          <w:sz w:val="24"/>
          <w:szCs w:val="24"/>
          <w:lang w:val="en-US"/>
        </w:rPr>
        <w:t>. [</w:t>
      </w:r>
      <w:r w:rsidRPr="007F14EA">
        <w:rPr>
          <w:rFonts w:ascii="Times New Roman" w:hAnsi="Times New Roman"/>
          <w:sz w:val="24"/>
          <w:szCs w:val="24"/>
          <w:lang w:val="en-US"/>
        </w:rPr>
        <w:t>PFC: n=8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F14EA">
        <w:rPr>
          <w:rFonts w:ascii="Times New Roman" w:hAnsi="Times New Roman"/>
          <w:sz w:val="24"/>
          <w:szCs w:val="24"/>
          <w:lang w:val="en-US"/>
        </w:rPr>
        <w:t>veh</w:t>
      </w:r>
      <w:proofErr w:type="spellEnd"/>
      <w:r w:rsidRPr="007F14EA">
        <w:rPr>
          <w:rFonts w:ascii="Times New Roman" w:hAnsi="Times New Roman"/>
          <w:sz w:val="24"/>
          <w:szCs w:val="24"/>
          <w:lang w:val="en-US"/>
        </w:rPr>
        <w:t>, n=8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14EA">
        <w:rPr>
          <w:rFonts w:ascii="Times New Roman" w:hAnsi="Times New Roman"/>
          <w:sz w:val="24"/>
          <w:szCs w:val="24"/>
        </w:rPr>
        <w:t>Δ</w:t>
      </w:r>
      <w:r w:rsidRPr="007F14E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7F14EA">
        <w:rPr>
          <w:rFonts w:ascii="Times New Roman" w:hAnsi="Times New Roman"/>
          <w:sz w:val="24"/>
          <w:szCs w:val="24"/>
          <w:lang w:val="en-US"/>
        </w:rPr>
        <w:t xml:space="preserve">-THC for </w:t>
      </w:r>
      <w:r>
        <w:rPr>
          <w:rFonts w:ascii="Times New Roman" w:hAnsi="Times New Roman"/>
          <w:sz w:val="24"/>
          <w:szCs w:val="24"/>
          <w:lang w:val="en-US"/>
        </w:rPr>
        <w:t>males and female</w:t>
      </w:r>
      <w:r w:rsidRPr="007F14E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respectively</w:t>
      </w:r>
      <w:r w:rsidRPr="007F14EA">
        <w:rPr>
          <w:rFonts w:ascii="Times New Roman" w:hAnsi="Times New Roman"/>
          <w:sz w:val="24"/>
          <w:szCs w:val="24"/>
          <w:lang w:val="en-US"/>
        </w:rPr>
        <w:t xml:space="preserve">, HIPP: n=9 </w:t>
      </w:r>
      <w:proofErr w:type="spellStart"/>
      <w:r w:rsidRPr="007F14EA">
        <w:rPr>
          <w:rFonts w:ascii="Times New Roman" w:hAnsi="Times New Roman"/>
          <w:sz w:val="24"/>
          <w:szCs w:val="24"/>
          <w:lang w:val="en-US"/>
        </w:rPr>
        <w:t>veh</w:t>
      </w:r>
      <w:proofErr w:type="spellEnd"/>
      <w:r w:rsidRPr="007F14EA">
        <w:rPr>
          <w:rFonts w:ascii="Times New Roman" w:hAnsi="Times New Roman"/>
          <w:sz w:val="24"/>
          <w:szCs w:val="24"/>
          <w:lang w:val="en-US"/>
        </w:rPr>
        <w:t>, n=8</w:t>
      </w:r>
      <w:r w:rsidRPr="00474B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14EA">
        <w:rPr>
          <w:rFonts w:ascii="Times New Roman" w:hAnsi="Times New Roman"/>
          <w:sz w:val="24"/>
          <w:szCs w:val="24"/>
        </w:rPr>
        <w:t>Δ</w:t>
      </w:r>
      <w:r w:rsidRPr="007F14E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7F14EA">
        <w:rPr>
          <w:rFonts w:ascii="Times New Roman" w:hAnsi="Times New Roman"/>
          <w:sz w:val="24"/>
          <w:szCs w:val="24"/>
          <w:lang w:val="en-US"/>
        </w:rPr>
        <w:t>-THC for</w:t>
      </w:r>
      <w:r>
        <w:rPr>
          <w:rFonts w:ascii="Times New Roman" w:hAnsi="Times New Roman"/>
          <w:sz w:val="24"/>
          <w:szCs w:val="24"/>
          <w:lang w:val="en-US"/>
        </w:rPr>
        <w:t xml:space="preserve"> males and female</w:t>
      </w:r>
      <w:r w:rsidRPr="007F14E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respectively].</w:t>
      </w:r>
      <w:r w:rsidRPr="007F14EA">
        <w:rPr>
          <w:rFonts w:ascii="Times New Roman" w:hAnsi="Times New Roman"/>
          <w:sz w:val="24"/>
          <w:szCs w:val="24"/>
          <w:lang w:val="en-US"/>
        </w:rPr>
        <w:t xml:space="preserve">*: </w:t>
      </w:r>
      <w:r w:rsidRPr="007F14EA">
        <w:rPr>
          <w:rFonts w:ascii="Times New Roman" w:hAnsi="Times New Roman"/>
          <w:sz w:val="24"/>
          <w:szCs w:val="24"/>
        </w:rPr>
        <w:t>Δ</w:t>
      </w:r>
      <w:r w:rsidRPr="007F14EA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7F14EA">
        <w:rPr>
          <w:rFonts w:ascii="Times New Roman" w:hAnsi="Times New Roman"/>
          <w:sz w:val="24"/>
          <w:szCs w:val="24"/>
          <w:lang w:val="en-US"/>
        </w:rPr>
        <w:t>-T</w:t>
      </w:r>
      <w:r w:rsidRPr="00B43984">
        <w:rPr>
          <w:rFonts w:ascii="Times New Roman" w:hAnsi="Times New Roman"/>
          <w:sz w:val="24"/>
          <w:szCs w:val="24"/>
          <w:lang w:val="en-US"/>
        </w:rPr>
        <w:t xml:space="preserve">HC </w:t>
      </w:r>
      <w:r w:rsidRPr="00B43984">
        <w:rPr>
          <w:rFonts w:ascii="Times New Roman" w:hAnsi="Times New Roman"/>
          <w:i/>
          <w:sz w:val="24"/>
          <w:szCs w:val="24"/>
          <w:lang w:val="en-US"/>
        </w:rPr>
        <w:t>vs.</w:t>
      </w:r>
      <w:r w:rsidRPr="00B43984">
        <w:rPr>
          <w:rFonts w:ascii="Times New Roman" w:hAnsi="Times New Roman"/>
          <w:sz w:val="24"/>
          <w:szCs w:val="24"/>
          <w:lang w:val="en-US"/>
        </w:rPr>
        <w:t xml:space="preserve"> vehicle</w:t>
      </w:r>
      <w:r>
        <w:rPr>
          <w:rFonts w:ascii="Times New Roman" w:hAnsi="Times New Roman"/>
          <w:bCs/>
          <w:sz w:val="24"/>
          <w:szCs w:val="24"/>
          <w:lang w:val="en-US"/>
        </w:rPr>
        <w:t>, p</w:t>
      </w:r>
      <w:r>
        <w:rPr>
          <w:rFonts w:ascii="Times New Roman" w:hAnsi="Times New Roman"/>
          <w:sz w:val="24"/>
          <w:szCs w:val="24"/>
          <w:lang w:val="en-US"/>
        </w:rPr>
        <w:t>≤</w:t>
      </w:r>
      <w:r>
        <w:rPr>
          <w:rFonts w:ascii="Times New Roman" w:hAnsi="Times New Roman"/>
          <w:bCs/>
          <w:sz w:val="24"/>
          <w:szCs w:val="24"/>
          <w:lang w:val="en-US"/>
        </w:rPr>
        <w:t>0.05</w:t>
      </w:r>
      <w:r w:rsidRPr="00B43984">
        <w:rPr>
          <w:rFonts w:ascii="Times New Roman" w:hAnsi="Times New Roman"/>
          <w:sz w:val="24"/>
          <w:szCs w:val="24"/>
          <w:lang w:val="en-US"/>
        </w:rPr>
        <w:t>.</w:t>
      </w:r>
    </w:p>
    <w:p w:rsidR="00294B37" w:rsidRPr="00474BAE" w:rsidRDefault="00294B37">
      <w:pPr>
        <w:rPr>
          <w:lang w:val="en-US"/>
        </w:rPr>
      </w:pPr>
    </w:p>
    <w:sectPr w:rsidR="00294B37" w:rsidRPr="00474BAE" w:rsidSect="0071563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1398"/>
    <w:rsid w:val="00294B37"/>
    <w:rsid w:val="00296FCB"/>
    <w:rsid w:val="00333073"/>
    <w:rsid w:val="00474BAE"/>
    <w:rsid w:val="006173A9"/>
    <w:rsid w:val="009D6A1A"/>
    <w:rsid w:val="00C81398"/>
    <w:rsid w:val="00C876B3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 poulia</dc:creator>
  <cp:lastModifiedBy>nafsika poulia</cp:lastModifiedBy>
  <cp:revision>5</cp:revision>
  <dcterms:created xsi:type="dcterms:W3CDTF">2019-09-01T17:31:00Z</dcterms:created>
  <dcterms:modified xsi:type="dcterms:W3CDTF">2019-09-11T17:34:00Z</dcterms:modified>
</cp:coreProperties>
</file>